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4" w:line="221" w:lineRule="auto"/>
        <w:ind w:left="85"/>
        <w:jc w:val="center"/>
        <w:rPr>
          <w:rFonts w:hint="eastAsia" w:cs="宋体"/>
          <w:b/>
          <w:bCs/>
          <w:sz w:val="32"/>
          <w:szCs w:val="32"/>
          <w:lang w:val="en-US" w:eastAsia="zh-CN"/>
        </w:rPr>
      </w:pPr>
      <w:bookmarkStart w:id="0" w:name="_GoBack"/>
      <w:r>
        <w:rPr>
          <w:rFonts w:hint="eastAsia" w:cs="宋体"/>
          <w:b/>
          <w:bCs/>
          <w:sz w:val="32"/>
          <w:szCs w:val="32"/>
          <w:lang w:val="en-US" w:eastAsia="zh-CN"/>
        </w:rPr>
        <w:t>交通建设工程安全生产行政检查标准</w:t>
      </w:r>
    </w:p>
    <w:bookmarkEnd w:id="0"/>
    <w:tbl>
      <w:tblPr>
        <w:tblStyle w:val="9"/>
        <w:tblW w:w="14655"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960"/>
        <w:gridCol w:w="3615"/>
        <w:gridCol w:w="2985"/>
        <w:gridCol w:w="1605"/>
        <w:gridCol w:w="1665"/>
        <w:gridCol w:w="3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80" w:type="dxa"/>
            <w:tcBorders>
              <w:bottom w:val="single" w:color="auto" w:sz="4" w:space="0"/>
            </w:tcBorders>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序号</w:t>
            </w:r>
          </w:p>
        </w:tc>
        <w:tc>
          <w:tcPr>
            <w:tcW w:w="960" w:type="dxa"/>
            <w:tcBorders>
              <w:bottom w:val="single" w:color="auto" w:sz="4" w:space="0"/>
            </w:tcBorders>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检查事项</w:t>
            </w:r>
          </w:p>
        </w:tc>
        <w:tc>
          <w:tcPr>
            <w:tcW w:w="3615" w:type="dxa"/>
            <w:tcBorders>
              <w:bottom w:val="single" w:color="auto" w:sz="4" w:space="0"/>
            </w:tcBorders>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检查要点及要求</w:t>
            </w:r>
          </w:p>
        </w:tc>
        <w:tc>
          <w:tcPr>
            <w:tcW w:w="2985" w:type="dxa"/>
            <w:tcBorders>
              <w:bottom w:val="single" w:color="auto" w:sz="4" w:space="0"/>
            </w:tcBorders>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对应条款编号</w:t>
            </w:r>
          </w:p>
        </w:tc>
        <w:tc>
          <w:tcPr>
            <w:tcW w:w="1605" w:type="dxa"/>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检查方法</w:t>
            </w:r>
          </w:p>
        </w:tc>
        <w:tc>
          <w:tcPr>
            <w:tcW w:w="1665" w:type="dxa"/>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检查结果</w:t>
            </w:r>
          </w:p>
        </w:tc>
        <w:tc>
          <w:tcPr>
            <w:tcW w:w="3345" w:type="dxa"/>
            <w:noWrap w:val="0"/>
            <w:vAlign w:val="top"/>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检查情况记录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80" w:type="dxa"/>
            <w:tcBorders>
              <w:top w:val="single" w:color="auto" w:sz="4" w:space="0"/>
            </w:tcBorders>
            <w:noWrap w:val="0"/>
            <w:vAlign w:val="center"/>
          </w:tcPr>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1</w:t>
            </w:r>
          </w:p>
        </w:tc>
        <w:tc>
          <w:tcPr>
            <w:tcW w:w="960" w:type="dxa"/>
            <w:vMerge w:val="restart"/>
            <w:tcBorders>
              <w:left w:val="single" w:color="auto" w:sz="4" w:space="0"/>
              <w:right w:val="single" w:color="auto" w:sz="4" w:space="0"/>
            </w:tcBorders>
            <w:noWrap w:val="0"/>
            <w:vAlign w:val="center"/>
          </w:tcPr>
          <w:p>
            <w:pPr>
              <w:pStyle w:val="8"/>
              <w:spacing w:before="93" w:line="219" w:lineRule="auto"/>
              <w:jc w:val="center"/>
              <w:rPr>
                <w:rFonts w:hint="eastAsia" w:ascii="仿宋_GB2312" w:hAnsi="仿宋_GB2312" w:eastAsia="仿宋_GB2312" w:cs="仿宋_GB2312"/>
                <w:spacing w:val="2"/>
                <w:sz w:val="21"/>
                <w:szCs w:val="21"/>
                <w:lang w:val="en-US" w:eastAsia="zh-CN"/>
              </w:rPr>
            </w:pPr>
          </w:p>
          <w:p>
            <w:pPr>
              <w:pStyle w:val="8"/>
              <w:spacing w:before="93" w:line="219" w:lineRule="auto"/>
              <w:jc w:val="center"/>
              <w:rPr>
                <w:rFonts w:hint="eastAsia" w:ascii="仿宋_GB2312" w:hAnsi="仿宋_GB2312" w:eastAsia="仿宋_GB2312" w:cs="仿宋_GB2312"/>
                <w:spacing w:val="2"/>
                <w:sz w:val="21"/>
                <w:szCs w:val="21"/>
                <w:lang w:val="en-US" w:eastAsia="zh-CN"/>
              </w:rPr>
            </w:pPr>
          </w:p>
          <w:p>
            <w:pPr>
              <w:pStyle w:val="8"/>
              <w:spacing w:before="93" w:line="219" w:lineRule="auto"/>
              <w:jc w:val="center"/>
              <w:rPr>
                <w:rFonts w:hint="eastAsia" w:ascii="仿宋_GB2312" w:hAnsi="仿宋_GB2312" w:eastAsia="仿宋_GB2312" w:cs="仿宋_GB2312"/>
                <w:spacing w:val="2"/>
                <w:sz w:val="21"/>
                <w:szCs w:val="21"/>
                <w:lang w:val="en-US" w:eastAsia="zh-CN"/>
              </w:rPr>
            </w:pPr>
          </w:p>
          <w:p>
            <w:pPr>
              <w:pStyle w:val="8"/>
              <w:spacing w:before="93" w:line="219" w:lineRule="auto"/>
              <w:jc w:val="center"/>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从业资格条件</w:t>
            </w:r>
          </w:p>
          <w:p>
            <w:pPr>
              <w:pStyle w:val="8"/>
              <w:spacing w:before="93" w:line="219" w:lineRule="auto"/>
              <w:jc w:val="center"/>
              <w:rPr>
                <w:rFonts w:hint="eastAsia" w:ascii="仿宋_GB2312" w:hAnsi="仿宋_GB2312" w:eastAsia="仿宋_GB2312" w:cs="仿宋_GB2312"/>
                <w:spacing w:val="2"/>
                <w:sz w:val="21"/>
                <w:szCs w:val="21"/>
                <w:lang w:val="en-US" w:eastAsia="zh-CN"/>
              </w:rPr>
            </w:pPr>
          </w:p>
        </w:tc>
        <w:tc>
          <w:tcPr>
            <w:tcW w:w="3615" w:type="dxa"/>
            <w:tcBorders>
              <w:top w:val="single" w:color="auto" w:sz="4" w:space="0"/>
            </w:tcBorders>
            <w:noWrap w:val="0"/>
            <w:vAlign w:val="center"/>
          </w:tcPr>
          <w:p>
            <w:pPr>
              <w:pStyle w:val="8"/>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主要负责人、项目负责人和专职安全生产管理人员足额配备并依法履行安全生产管理职责，持证上岗</w:t>
            </w:r>
          </w:p>
        </w:tc>
        <w:tc>
          <w:tcPr>
            <w:tcW w:w="2985" w:type="dxa"/>
            <w:tcBorders>
              <w:top w:val="single" w:color="auto" w:sz="4" w:space="0"/>
            </w:tcBorders>
            <w:noWrap w:val="0"/>
            <w:vAlign w:val="center"/>
          </w:tcPr>
          <w:p>
            <w:pPr>
              <w:pStyle w:val="8"/>
              <w:spacing w:before="93" w:line="219" w:lineRule="auto"/>
              <w:jc w:val="left"/>
              <w:rPr>
                <w:rFonts w:hint="eastAsia" w:ascii="仿宋_GB2312" w:hAnsi="仿宋_GB2312" w:eastAsia="仿宋_GB2312" w:cs="仿宋_GB2312"/>
                <w:spacing w:val="2"/>
                <w:sz w:val="21"/>
                <w:szCs w:val="21"/>
                <w:lang w:val="en" w:eastAsia="zh-CN"/>
              </w:rPr>
            </w:pPr>
            <w:r>
              <w:rPr>
                <w:rFonts w:hint="eastAsia" w:ascii="仿宋_GB2312" w:hAnsi="仿宋_GB2312" w:eastAsia="仿宋_GB2312" w:cs="仿宋_GB2312"/>
                <w:spacing w:val="2"/>
                <w:sz w:val="21"/>
                <w:szCs w:val="21"/>
                <w:lang w:val="en-US" w:eastAsia="zh-CN"/>
              </w:rPr>
              <w:t>《交通运输工程施工单位主要负责人、项目负责人和专职安全生产管理人员安全生产考核管理办法》第十八条、</w:t>
            </w:r>
            <w:r>
              <w:rPr>
                <w:rFonts w:hint="eastAsia" w:ascii="仿宋_GB2312" w:hAnsi="仿宋_GB2312" w:eastAsia="仿宋_GB2312" w:cs="仿宋_GB2312"/>
                <w:snapToGrid w:val="0"/>
                <w:color w:val="000000"/>
                <w:spacing w:val="2"/>
                <w:kern w:val="0"/>
                <w:sz w:val="21"/>
                <w:szCs w:val="21"/>
                <w:lang w:val="en-US" w:eastAsia="zh-CN" w:bidi="ar-SA"/>
              </w:rPr>
              <w:t>《</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》第十四条、第三十五条、第三十六条</w:t>
            </w:r>
          </w:p>
        </w:tc>
        <w:tc>
          <w:tcPr>
            <w:tcW w:w="1605" w:type="dxa"/>
            <w:noWrap w:val="0"/>
            <w:vAlign w:val="center"/>
          </w:tcPr>
          <w:p>
            <w:pPr>
              <w:pStyle w:val="8"/>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查阅专职安全员、三类人员证件</w:t>
            </w:r>
          </w:p>
        </w:tc>
        <w:tc>
          <w:tcPr>
            <w:tcW w:w="1665" w:type="dxa"/>
            <w:noWrap w:val="0"/>
            <w:vAlign w:val="top"/>
          </w:tcPr>
          <w:p>
            <w:pPr>
              <w:spacing w:before="93" w:line="219" w:lineRule="auto"/>
              <w:jc w:val="left"/>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pacing w:val="2"/>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80" w:type="dxa"/>
            <w:noWrap w:val="0"/>
            <w:vAlign w:val="center"/>
          </w:tcPr>
          <w:p>
            <w:pPr>
              <w:keepNext w:val="0"/>
              <w:keepLines w:val="0"/>
              <w:widowControl/>
              <w:numPr>
                <w:ilvl w:val="0"/>
                <w:numId w:val="0"/>
              </w:numPr>
              <w:suppressLineNumbers w:val="0"/>
              <w:ind w:leftChars="0"/>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2</w:t>
            </w:r>
          </w:p>
        </w:tc>
        <w:tc>
          <w:tcPr>
            <w:tcW w:w="960" w:type="dxa"/>
            <w:vMerge w:val="continue"/>
            <w:tcBorders>
              <w:left w:val="single" w:color="auto" w:sz="4" w:space="0"/>
              <w:right w:val="single" w:color="auto" w:sz="4" w:space="0"/>
            </w:tcBorders>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spacing w:val="2"/>
                <w:kern w:val="0"/>
                <w:sz w:val="21"/>
                <w:szCs w:val="21"/>
                <w:lang w:val="en-US" w:eastAsia="zh-CN" w:bidi="ar-SA"/>
              </w:rPr>
            </w:pPr>
          </w:p>
        </w:tc>
        <w:tc>
          <w:tcPr>
            <w:tcW w:w="3615" w:type="dxa"/>
            <w:noWrap w:val="0"/>
            <w:vAlign w:val="center"/>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特种作业人员持有效证件，建立人员台账</w:t>
            </w:r>
          </w:p>
        </w:tc>
        <w:tc>
          <w:tcPr>
            <w:tcW w:w="2985" w:type="dxa"/>
            <w:noWrap w:val="0"/>
            <w:vAlign w:val="center"/>
          </w:tcPr>
          <w:p>
            <w:pPr>
              <w:pStyle w:val="8"/>
              <w:spacing w:before="93" w:line="219" w:lineRule="auto"/>
              <w:jc w:val="left"/>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《中华人民共和国安全生产法》第三十条、《</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》第十六条</w:t>
            </w:r>
          </w:p>
        </w:tc>
        <w:tc>
          <w:tcPr>
            <w:tcW w:w="1605" w:type="dxa"/>
            <w:noWrap w:val="0"/>
            <w:vAlign w:val="center"/>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查阅特种作业人员台账、证件</w:t>
            </w:r>
          </w:p>
        </w:tc>
        <w:tc>
          <w:tcPr>
            <w:tcW w:w="1665" w:type="dxa"/>
            <w:noWrap w:val="0"/>
            <w:vAlign w:val="top"/>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0" w:type="dxa"/>
            <w:noWrap w:val="0"/>
            <w:vAlign w:val="center"/>
          </w:tcPr>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３</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安全生产费用管理</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建立并认真落实安全生产费用使用计划；安全生产费用使用台账或费用明细清晰，记录齐全；使用明细与现场安全生产设施相符</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《中华人民共和国安全生产法》第二十三条、《</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》第二十一条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查阅安全生产经费使用计划及明细台账</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４</w:t>
            </w:r>
          </w:p>
        </w:tc>
        <w:tc>
          <w:tcPr>
            <w:tcW w:w="960"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安全风险防控</w:t>
            </w:r>
          </w:p>
        </w:tc>
        <w:tc>
          <w:tcPr>
            <w:tcW w:w="3615" w:type="dxa"/>
            <w:noWrap w:val="0"/>
            <w:vAlign w:val="center"/>
          </w:tcPr>
          <w:p>
            <w:pPr>
              <w:pStyle w:val="8"/>
              <w:spacing w:before="93" w:line="219" w:lineRule="auto"/>
              <w:jc w:val="left"/>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落实安全风险分级管控措施，按规定开展施工安全风险评估工作并编制评估报告；依据安全风险评估报告结论对危险性较大分部分项工程编制施工专项方案，制定相应的专项应急预案，组织专家对专项施工方案进行论证、审核，严格按施工方案施工</w:t>
            </w:r>
          </w:p>
        </w:tc>
        <w:tc>
          <w:tcPr>
            <w:tcW w:w="2985" w:type="dxa"/>
            <w:noWrap w:val="0"/>
            <w:vAlign w:val="center"/>
          </w:tcPr>
          <w:p>
            <w:pPr>
              <w:pStyle w:val="8"/>
              <w:spacing w:before="93" w:line="219" w:lineRule="auto"/>
              <w:jc w:val="left"/>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》第二十四条、第二十五条</w:t>
            </w:r>
          </w:p>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查阅风险评估报告、施工专项方案、应急预案</w:t>
            </w:r>
          </w:p>
        </w:tc>
        <w:tc>
          <w:tcPr>
            <w:tcW w:w="166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 符 合 □ 不 符 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５</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安全隐患排查整治</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建立安全检查制度并开展安全检查工作，安全隐患及时整改闭环；对重大隐患落实“五到位”，向行业主管部门报备</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《中华人民共和国安全生产法》第四十一条、《</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》第四十一条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查阅安全检查制度、排查台账、隐患台账及整改资料</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480" w:type="dxa"/>
            <w:noWrap w:val="0"/>
            <w:vAlign w:val="center"/>
          </w:tcPr>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６</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技术交底与培训</w:t>
            </w:r>
          </w:p>
        </w:tc>
        <w:tc>
          <w:tcPr>
            <w:tcW w:w="3615" w:type="dxa"/>
            <w:noWrap w:val="0"/>
            <w:vAlign w:val="center"/>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制定安全生产培训计划并按计划开展培训，对特殊工种、转岗、新进场等从业人员开展全覆盖安全教育培训；明确安全技术交底责任人、对象、内容、方法，并逐级交底</w:t>
            </w:r>
          </w:p>
        </w:tc>
        <w:tc>
          <w:tcPr>
            <w:tcW w:w="2985" w:type="dxa"/>
            <w:noWrap w:val="0"/>
            <w:vAlign w:val="center"/>
          </w:tcPr>
          <w:p>
            <w:pPr>
              <w:keepNext w:val="0"/>
              <w:keepLines w:val="0"/>
              <w:widowControl/>
              <w:suppressLineNumbers w:val="0"/>
              <w:jc w:val="left"/>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《中华人民共和国安全生产法》第二十八条、第二十九条、《</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》第十五条、第四十条</w:t>
            </w:r>
          </w:p>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查阅培训制度、计划、记录、技术交底资料</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７</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施工机械、设备使用管理</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安全防护用具、机械、设备、施工机具暨配件经查验合格后投入使用并定期检查、保养、维修；编制安装、拆除方案，委托具备资质条件的单位实施</w:t>
            </w:r>
          </w:p>
        </w:tc>
        <w:tc>
          <w:tcPr>
            <w:tcW w:w="2985" w:type="dxa"/>
            <w:noWrap w:val="0"/>
            <w:vAlign w:val="center"/>
          </w:tcPr>
          <w:p>
            <w:pPr>
              <w:pStyle w:val="8"/>
              <w:spacing w:before="93" w:line="219" w:lineRule="auto"/>
              <w:jc w:val="left"/>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》第十七条、第十九条、《建设工程安全生产管理条例》第十七条、第十八条、第三十四、第三十五条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查机械、设备检验、保养、维修台账</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0" w:type="dxa"/>
            <w:noWrap w:val="0"/>
            <w:vAlign w:val="center"/>
          </w:tcPr>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８</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消防安全</w:t>
            </w:r>
          </w:p>
        </w:tc>
        <w:tc>
          <w:tcPr>
            <w:tcW w:w="3615" w:type="dxa"/>
            <w:noWrap w:val="0"/>
            <w:vAlign w:val="center"/>
          </w:tcPr>
          <w:p>
            <w:pPr>
              <w:keepNext w:val="0"/>
              <w:keepLines w:val="0"/>
              <w:widowControl/>
              <w:suppressLineNumbers w:val="0"/>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配备相应的消防设施、物资和器材，对施工现场临时用火、用电的重点部位及爆破作业各环节加强消防安全检查</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》第三十八条、《建设工程安全生产管理条例》第三十一条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查消防安全应急预案、应急演练、教育培训、消防安全检查、消防设施设备</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p>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p>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p>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９</w:t>
            </w:r>
          </w:p>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p>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p>
          <w:p>
            <w:pPr>
              <w:pStyle w:val="8"/>
              <w:spacing w:before="93" w:line="219" w:lineRule="auto"/>
              <w:jc w:val="both"/>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森林草原防灭火专项行动</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开展防灭火宣传；定期开展森林草原防灭火专项大检查，建立工作台账；设置专职防火监督巡查员，并与属地乡镇、社区巡山护林人员建立联防联控巡查监督机制；建立森林草原防灭火管理制度，按规定明确作业审批、用火管理、现场监督、应急准备等管理要求；防火期内进入森林草原防灭火区施工作业的，以标段为单位向属地县级林草主管部门提出申请</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《四川省交通运输厅关于严格落实公路工程建设领域森林草原防灭火八条措施切实抓好在建工程安全生产的通知》</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查阅防灭火文件宣贯、防灭火制度、检查台账</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10</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应急救援体系</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制定专项应急预案和现场处置方案；配备必要的应急救援器材、设备和物资；按要求定期组织应急演练</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《中华人民共和国安全生产法》第81条、《</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》第二十五条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查阅应急预案、演练、应急物资</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pStyle w:val="8"/>
              <w:spacing w:before="93" w:line="219" w:lineRule="auto"/>
              <w:jc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11</w:t>
            </w:r>
          </w:p>
        </w:tc>
        <w:tc>
          <w:tcPr>
            <w:tcW w:w="960" w:type="dxa"/>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环保治理管理行为</w:t>
            </w:r>
          </w:p>
        </w:tc>
        <w:tc>
          <w:tcPr>
            <w:tcW w:w="361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采取有效措施保护环境和节约用地，落实防尘降尘措施，</w:t>
            </w:r>
          </w:p>
        </w:tc>
        <w:tc>
          <w:tcPr>
            <w:tcW w:w="298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《公路建设市场管理办法》第三十五条、《</w:t>
            </w:r>
            <w:r>
              <w:rPr>
                <w:rFonts w:hint="default" w:ascii="仿宋_GB2312" w:hAnsi="仿宋_GB2312" w:eastAsia="仿宋_GB2312" w:cs="仿宋_GB2312"/>
                <w:snapToGrid w:val="0"/>
                <w:color w:val="000000"/>
                <w:spacing w:val="2"/>
                <w:kern w:val="0"/>
                <w:sz w:val="21"/>
                <w:szCs w:val="21"/>
                <w:lang w:val="en-US" w:eastAsia="zh-CN" w:bidi="ar-SA"/>
              </w:rPr>
              <w:t>中华人民共和国大气污染防治法</w:t>
            </w:r>
            <w:r>
              <w:rPr>
                <w:rFonts w:hint="eastAsia" w:ascii="仿宋_GB2312" w:hAnsi="仿宋_GB2312" w:eastAsia="仿宋_GB2312" w:cs="仿宋_GB2312"/>
                <w:snapToGrid w:val="0"/>
                <w:color w:val="000000"/>
                <w:spacing w:val="2"/>
                <w:kern w:val="0"/>
                <w:sz w:val="21"/>
                <w:szCs w:val="21"/>
                <w:lang w:val="en-US" w:eastAsia="zh-CN" w:bidi="ar-SA"/>
              </w:rPr>
              <w:t>》第六十九条</w:t>
            </w:r>
          </w:p>
        </w:tc>
        <w:tc>
          <w:tcPr>
            <w:tcW w:w="1605" w:type="dxa"/>
            <w:noWrap w:val="0"/>
            <w:vAlign w:val="center"/>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查询制度、文件专项方案、现场查看措施落实情况</w:t>
            </w:r>
          </w:p>
        </w:tc>
        <w:tc>
          <w:tcPr>
            <w:tcW w:w="1665" w:type="dxa"/>
            <w:noWrap w:val="0"/>
            <w:vAlign w:val="top"/>
          </w:tcPr>
          <w:p>
            <w:pPr>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480" w:type="dxa"/>
            <w:noWrap w:val="0"/>
            <w:vAlign w:val="center"/>
          </w:tcPr>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left="0" w:leftChars="0" w:firstLine="0" w:firstLineChars="0"/>
              <w:jc w:val="center"/>
              <w:textAlignment w:val="center"/>
              <w:rPr>
                <w:rFonts w:hint="default"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12</w:t>
            </w:r>
          </w:p>
        </w:tc>
        <w:tc>
          <w:tcPr>
            <w:tcW w:w="960" w:type="dxa"/>
            <w:noWrap w:val="0"/>
            <w:vAlign w:val="center"/>
          </w:tcPr>
          <w:p>
            <w:pP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现场安全防护措施</w:t>
            </w:r>
          </w:p>
        </w:tc>
        <w:tc>
          <w:tcPr>
            <w:tcW w:w="3615" w:type="dxa"/>
            <w:noWrap w:val="0"/>
            <w:vAlign w:val="center"/>
          </w:tcPr>
          <w:p>
            <w:pP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两区三厂安全管理，施工现场标志标牌管理，高处作业安全管理，临边、临水作业防护栏杆及安全网布置</w:t>
            </w:r>
          </w:p>
        </w:tc>
        <w:tc>
          <w:tcPr>
            <w:tcW w:w="2985" w:type="dxa"/>
            <w:noWrap w:val="0"/>
            <w:vAlign w:val="center"/>
          </w:tcPr>
          <w:p>
            <w:pP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w:t>
            </w:r>
            <w:r>
              <w:rPr>
                <w:rFonts w:hint="default" w:ascii="仿宋_GB2312" w:hAnsi="仿宋_GB2312" w:eastAsia="仿宋_GB2312" w:cs="仿宋_GB2312"/>
                <w:snapToGrid w:val="0"/>
                <w:color w:val="000000"/>
                <w:spacing w:val="2"/>
                <w:kern w:val="0"/>
                <w:sz w:val="21"/>
                <w:szCs w:val="21"/>
                <w:lang w:val="en-US" w:eastAsia="zh-CN" w:bidi="ar-SA"/>
              </w:rPr>
              <w:t>公路水运工程安全生产监督管理办法</w:t>
            </w:r>
            <w:r>
              <w:rPr>
                <w:rFonts w:hint="eastAsia" w:ascii="仿宋_GB2312" w:hAnsi="仿宋_GB2312" w:eastAsia="仿宋_GB2312" w:cs="仿宋_GB2312"/>
                <w:snapToGrid w:val="0"/>
                <w:color w:val="000000"/>
                <w:spacing w:val="2"/>
                <w:kern w:val="0"/>
                <w:sz w:val="21"/>
                <w:szCs w:val="21"/>
                <w:lang w:val="en-US" w:eastAsia="zh-CN" w:bidi="ar-SA"/>
              </w:rPr>
              <w:t>》第二十二条</w:t>
            </w:r>
          </w:p>
          <w:p>
            <w:pPr>
              <w:rPr>
                <w:rFonts w:hint="eastAsia" w:ascii="仿宋_GB2312" w:hAnsi="仿宋_GB2312" w:eastAsia="仿宋_GB2312" w:cs="仿宋_GB2312"/>
                <w:snapToGrid w:val="0"/>
                <w:color w:val="000000"/>
                <w:spacing w:val="2"/>
                <w:kern w:val="0"/>
                <w:sz w:val="21"/>
                <w:szCs w:val="21"/>
                <w:lang w:val="en-US" w:eastAsia="zh-CN" w:bidi="ar-SA"/>
              </w:rPr>
            </w:pPr>
          </w:p>
        </w:tc>
        <w:tc>
          <w:tcPr>
            <w:tcW w:w="1605" w:type="dxa"/>
            <w:noWrap w:val="0"/>
            <w:vAlign w:val="center"/>
          </w:tcPr>
          <w:p>
            <w:pP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施工现场检查</w:t>
            </w:r>
          </w:p>
        </w:tc>
        <w:tc>
          <w:tcPr>
            <w:tcW w:w="1665" w:type="dxa"/>
            <w:noWrap w:val="0"/>
            <w:vAlign w:val="top"/>
          </w:tcPr>
          <w:p>
            <w:pP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28"/>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 □</w:t>
            </w:r>
            <w:r>
              <w:rPr>
                <w:rFonts w:hint="eastAsia" w:ascii="仿宋_GB2312" w:hAnsi="仿宋_GB2312" w:eastAsia="仿宋_GB2312" w:cs="仿宋_GB2312"/>
                <w:spacing w:val="-29"/>
                <w:sz w:val="21"/>
                <w:szCs w:val="21"/>
              </w:rPr>
              <w:t xml:space="preserve"> </w:t>
            </w:r>
            <w:r>
              <w:rPr>
                <w:rFonts w:hint="eastAsia" w:ascii="仿宋_GB2312" w:hAnsi="仿宋_GB2312" w:eastAsia="仿宋_GB2312" w:cs="仿宋_GB2312"/>
                <w:spacing w:val="-14"/>
                <w:sz w:val="21"/>
                <w:szCs w:val="21"/>
              </w:rPr>
              <w:t>不</w:t>
            </w:r>
            <w:r>
              <w:rPr>
                <w:rFonts w:hint="eastAsia" w:ascii="仿宋_GB2312" w:hAnsi="仿宋_GB2312" w:eastAsia="仿宋_GB2312" w:cs="仿宋_GB2312"/>
                <w:spacing w:val="-31"/>
                <w:sz w:val="21"/>
                <w:szCs w:val="21"/>
              </w:rPr>
              <w:t xml:space="preserve"> </w:t>
            </w:r>
            <w:r>
              <w:rPr>
                <w:rFonts w:hint="eastAsia" w:ascii="仿宋_GB2312" w:hAnsi="仿宋_GB2312" w:eastAsia="仿宋_GB2312" w:cs="仿宋_GB2312"/>
                <w:spacing w:val="-14"/>
                <w:sz w:val="21"/>
                <w:szCs w:val="21"/>
              </w:rPr>
              <w:t>符</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4"/>
                <w:sz w:val="21"/>
                <w:szCs w:val="21"/>
              </w:rPr>
              <w:t>合</w:t>
            </w:r>
          </w:p>
        </w:tc>
        <w:tc>
          <w:tcPr>
            <w:tcW w:w="3345" w:type="dxa"/>
            <w:noWrap w:val="0"/>
            <w:vAlign w:val="top"/>
          </w:tcPr>
          <w:p>
            <w:pPr>
              <w:rPr>
                <w:rFonts w:hint="eastAsia" w:ascii="仿宋_GB2312" w:hAnsi="仿宋_GB2312" w:eastAsia="仿宋_GB2312" w:cs="仿宋_GB2312"/>
                <w:snapToGrid w:val="0"/>
                <w:color w:val="000000"/>
                <w:spacing w:val="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440" w:type="dxa"/>
            <w:gridSpan w:val="2"/>
            <w:noWrap w:val="0"/>
            <w:vAlign w:val="center"/>
          </w:tcPr>
          <w:p>
            <w:pPr>
              <w:pStyle w:val="8"/>
              <w:spacing w:before="93" w:line="219" w:lineRule="auto"/>
              <w:jc w:val="center"/>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备 注</w:t>
            </w:r>
          </w:p>
        </w:tc>
        <w:tc>
          <w:tcPr>
            <w:tcW w:w="13215" w:type="dxa"/>
            <w:gridSpan w:val="5"/>
            <w:noWrap w:val="0"/>
            <w:vAlign w:val="top"/>
          </w:tcPr>
          <w:p>
            <w:pPr>
              <w:pStyle w:val="8"/>
              <w:spacing w:before="93" w:line="219" w:lineRule="auto"/>
              <w:jc w:val="left"/>
              <w:rPr>
                <w:rFonts w:hint="eastAsia" w:ascii="仿宋_GB2312" w:hAnsi="仿宋_GB2312" w:eastAsia="仿宋_GB2312" w:cs="仿宋_GB2312"/>
                <w:snapToGrid w:val="0"/>
                <w:color w:val="000000"/>
                <w:spacing w:val="2"/>
                <w:kern w:val="0"/>
                <w:sz w:val="21"/>
                <w:szCs w:val="21"/>
                <w:lang w:val="en-US" w:eastAsia="zh-CN" w:bidi="ar-SA"/>
              </w:rPr>
            </w:pPr>
            <w:r>
              <w:rPr>
                <w:rFonts w:hint="eastAsia" w:ascii="仿宋_GB2312" w:hAnsi="仿宋_GB2312" w:eastAsia="仿宋_GB2312" w:cs="仿宋_GB2312"/>
                <w:snapToGrid w:val="0"/>
                <w:color w:val="000000"/>
                <w:spacing w:val="2"/>
                <w:kern w:val="0"/>
                <w:sz w:val="21"/>
                <w:szCs w:val="21"/>
                <w:lang w:val="en-US" w:eastAsia="zh-CN" w:bidi="ar-SA"/>
              </w:rPr>
              <w:t>根据现场检查实际情况，自行增减检查内容</w:t>
            </w:r>
          </w:p>
        </w:tc>
      </w:tr>
    </w:tbl>
    <w:p>
      <w:pPr>
        <w:rPr>
          <w:rFonts w:hint="eastAsia" w:asciiTheme="minorEastAsia" w:hAnsiTheme="minorEastAsia" w:eastAsiaTheme="minorEastAsia" w:cstheme="minorEastAsia"/>
          <w:sz w:val="24"/>
          <w:szCs w:val="24"/>
        </w:rPr>
      </w:pPr>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OWMzYTNhNjdmYWNlOTdhYzg1ZmJhN2I1YjgwZGEifQ=="/>
  </w:docVars>
  <w:rsids>
    <w:rsidRoot w:val="36AD3102"/>
    <w:rsid w:val="02EF2F90"/>
    <w:rsid w:val="03E8365A"/>
    <w:rsid w:val="06FF01C2"/>
    <w:rsid w:val="07C80DCF"/>
    <w:rsid w:val="0C400AA9"/>
    <w:rsid w:val="0EDA79F3"/>
    <w:rsid w:val="12C87B2F"/>
    <w:rsid w:val="14E85D48"/>
    <w:rsid w:val="15543DCE"/>
    <w:rsid w:val="16363624"/>
    <w:rsid w:val="17104A70"/>
    <w:rsid w:val="19265BE5"/>
    <w:rsid w:val="1B43212B"/>
    <w:rsid w:val="1BA323E9"/>
    <w:rsid w:val="1DA978BC"/>
    <w:rsid w:val="1DBF8D77"/>
    <w:rsid w:val="1FA9A82D"/>
    <w:rsid w:val="20421E04"/>
    <w:rsid w:val="25FF7CFE"/>
    <w:rsid w:val="26FA138A"/>
    <w:rsid w:val="2786681C"/>
    <w:rsid w:val="29DA5B25"/>
    <w:rsid w:val="2A1D50B2"/>
    <w:rsid w:val="2A432A2D"/>
    <w:rsid w:val="2D3446B1"/>
    <w:rsid w:val="2EA5666E"/>
    <w:rsid w:val="2FBA1F5E"/>
    <w:rsid w:val="2FC54D1C"/>
    <w:rsid w:val="309A0DD7"/>
    <w:rsid w:val="315B78EA"/>
    <w:rsid w:val="31F40374"/>
    <w:rsid w:val="36AD3102"/>
    <w:rsid w:val="3B8F1EBB"/>
    <w:rsid w:val="3F8F615B"/>
    <w:rsid w:val="3FBFCD31"/>
    <w:rsid w:val="414C592C"/>
    <w:rsid w:val="42137481"/>
    <w:rsid w:val="457B28AB"/>
    <w:rsid w:val="46285837"/>
    <w:rsid w:val="47183921"/>
    <w:rsid w:val="47EE141A"/>
    <w:rsid w:val="4E487C6D"/>
    <w:rsid w:val="54FFDF5C"/>
    <w:rsid w:val="5547252D"/>
    <w:rsid w:val="55D84D46"/>
    <w:rsid w:val="571C58B0"/>
    <w:rsid w:val="57EC4F5D"/>
    <w:rsid w:val="58714946"/>
    <w:rsid w:val="5AF81659"/>
    <w:rsid w:val="5EDB1CF8"/>
    <w:rsid w:val="5FD7D832"/>
    <w:rsid w:val="607B0CE3"/>
    <w:rsid w:val="62340963"/>
    <w:rsid w:val="67EE478C"/>
    <w:rsid w:val="681D761D"/>
    <w:rsid w:val="69851B58"/>
    <w:rsid w:val="6D0254C6"/>
    <w:rsid w:val="6D1B8DE0"/>
    <w:rsid w:val="6DFBEF79"/>
    <w:rsid w:val="6F6802E1"/>
    <w:rsid w:val="6FE38FE4"/>
    <w:rsid w:val="73ED3E91"/>
    <w:rsid w:val="746435BE"/>
    <w:rsid w:val="74821FBF"/>
    <w:rsid w:val="76F210B4"/>
    <w:rsid w:val="774432DB"/>
    <w:rsid w:val="77DB72D8"/>
    <w:rsid w:val="7BF56F24"/>
    <w:rsid w:val="7F7E8F33"/>
    <w:rsid w:val="7FFF7BF1"/>
    <w:rsid w:val="7FFFBF52"/>
    <w:rsid w:val="87FA897B"/>
    <w:rsid w:val="BCDC7980"/>
    <w:rsid w:val="C6FEF68E"/>
    <w:rsid w:val="D6EF5788"/>
    <w:rsid w:val="D7FFCF8A"/>
    <w:rsid w:val="D85FF198"/>
    <w:rsid w:val="E76B22A4"/>
    <w:rsid w:val="F3C89536"/>
    <w:rsid w:val="F6F7769F"/>
    <w:rsid w:val="FD6FC621"/>
    <w:rsid w:val="FD7FA34D"/>
    <w:rsid w:val="FDFD31AD"/>
    <w:rsid w:val="FEFB07E1"/>
    <w:rsid w:val="FF4D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eastAsia="楷体"/>
      <w:sz w:val="2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1"/>
    <w:next w:val="1"/>
    <w:unhideWhenUsed/>
    <w:qFormat/>
    <w:uiPriority w:val="99"/>
    <w:pPr>
      <w:spacing w:after="120"/>
      <w:ind w:left="420" w:leftChars="200" w:firstLine="420" w:firstLineChars="200"/>
    </w:pPr>
    <w:rPr>
      <w:rFonts w:ascii="等线" w:hAnsi="等线" w:eastAsia="等线"/>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font61"/>
    <w:basedOn w:val="7"/>
    <w:qFormat/>
    <w:uiPriority w:val="0"/>
    <w:rPr>
      <w:rFonts w:hint="eastAsia" w:ascii="宋体" w:hAnsi="宋体" w:eastAsia="宋体" w:cs="宋体"/>
      <w:color w:val="000000"/>
      <w:sz w:val="20"/>
      <w:szCs w:val="20"/>
      <w:u w:val="none"/>
    </w:rPr>
  </w:style>
  <w:style w:type="table" w:customStyle="1" w:styleId="11">
    <w:name w:val="TableGrid1"/>
    <w:basedOn w:val="5"/>
    <w:qFormat/>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2024-01-07T18:10:00Z</dcterms:created>
  <dc:creator>A</dc:creator>
  <cp:lastModifiedBy>user</cp:lastModifiedBy>
  <dcterms:modified xsi:type="dcterms:W3CDTF">2025-08-27T11:35:06Z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71C691F3A26F4A7E81E51B0A1E303F5E_13</vt:lpwstr>
  </property>
</Properties>
</file>